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F41B8">
      <w:pPr>
        <w:widowControl/>
        <w:spacing w:before="100" w:beforeAutospacing="1" w:after="100" w:afterAutospacing="1"/>
        <w:ind w:firstLine="442" w:firstLineChars="100"/>
        <w:jc w:val="center"/>
        <w:rPr>
          <w:rFonts w:hint="default" w:ascii="Times New Roman" w:hAnsi="Times New Roman" w:eastAsia="楷体" w:cs="Times New Roman"/>
          <w:b/>
          <w:bCs/>
          <w:color w:val="000000"/>
          <w:sz w:val="44"/>
          <w:szCs w:val="44"/>
          <w:shd w:val="clear" w:color="auto" w:fill="FFFFFF"/>
        </w:rPr>
      </w:pPr>
      <w:r>
        <w:rPr>
          <w:rFonts w:hint="default" w:ascii="Times New Roman" w:hAnsi="Times New Roman" w:eastAsia="楷体" w:cs="Times New Roman"/>
          <w:b/>
          <w:bCs/>
          <w:color w:val="000000"/>
          <w:sz w:val="44"/>
          <w:szCs w:val="44"/>
          <w:shd w:val="clear" w:color="auto" w:fill="FFFFFF"/>
        </w:rPr>
        <w:t>SD262A</w:t>
      </w:r>
      <w:r>
        <w:rPr>
          <w:rFonts w:hint="default" w:ascii="Times New Roman" w:hAnsi="Times New Roman" w:eastAsia="楷体" w:cs="Times New Roman"/>
          <w:b/>
          <w:bCs/>
          <w:color w:val="000000"/>
          <w:sz w:val="44"/>
          <w:szCs w:val="44"/>
          <w:shd w:val="clear" w:color="auto" w:fill="FFFFFF"/>
          <w:lang w:val="en-US" w:eastAsia="zh-CN"/>
        </w:rPr>
        <w:t xml:space="preserve"> </w:t>
      </w:r>
      <w:r>
        <w:rPr>
          <w:rFonts w:hint="default" w:ascii="Times New Roman" w:hAnsi="Times New Roman" w:eastAsia="楷体" w:cs="Times New Roman"/>
          <w:b/>
          <w:bCs/>
          <w:color w:val="000000"/>
          <w:sz w:val="44"/>
          <w:szCs w:val="44"/>
          <w:shd w:val="clear" w:color="auto" w:fill="FFFFFF"/>
        </w:rPr>
        <w:t xml:space="preserve"> Aniline point tester for petroleum products</w:t>
      </w:r>
    </w:p>
    <w:p w14:paraId="5A9B6D4F">
      <w:pPr>
        <w:widowControl/>
        <w:spacing w:before="100" w:beforeAutospacing="1" w:after="100" w:afterAutospacing="1"/>
        <w:ind w:firstLine="280" w:firstLineChars="100"/>
        <w:jc w:val="center"/>
        <w:rPr>
          <w:rFonts w:hint="default" w:ascii="Times New Roman" w:hAnsi="Times New Roman" w:eastAsia="楷体" w:cs="Times New Roman"/>
          <w:kern w:val="0"/>
          <w:sz w:val="28"/>
          <w:szCs w:val="28"/>
          <w:lang w:eastAsia="zh-CN"/>
        </w:rPr>
      </w:pPr>
      <w:r>
        <w:rPr>
          <w:rFonts w:hint="default" w:ascii="Times New Roman" w:hAnsi="Times New Roman" w:eastAsia="楷体" w:cs="Times New Roman"/>
          <w:kern w:val="0"/>
          <w:sz w:val="28"/>
          <w:szCs w:val="28"/>
          <w:lang w:eastAsia="zh-CN"/>
        </w:rPr>
        <w:drawing>
          <wp:inline distT="0" distB="0" distL="114300" distR="114300">
            <wp:extent cx="1271270" cy="1800225"/>
            <wp:effectExtent l="0" t="0" r="5080" b="9525"/>
            <wp:docPr id="1" name="图片 1" descr="微信图片_2025031010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310101223"/>
                    <pic:cNvPicPr>
                      <a:picLocks noChangeAspect="1"/>
                    </pic:cNvPicPr>
                  </pic:nvPicPr>
                  <pic:blipFill>
                    <a:blip r:embed="rId6"/>
                    <a:stretch>
                      <a:fillRect/>
                    </a:stretch>
                  </pic:blipFill>
                  <pic:spPr>
                    <a:xfrm>
                      <a:off x="0" y="0"/>
                      <a:ext cx="1271270" cy="1800225"/>
                    </a:xfrm>
                    <a:prstGeom prst="rect">
                      <a:avLst/>
                    </a:prstGeom>
                  </pic:spPr>
                </pic:pic>
              </a:graphicData>
            </a:graphic>
          </wp:inline>
        </w:drawing>
      </w:r>
      <w:r>
        <w:rPr>
          <w:rFonts w:hint="default" w:ascii="Times New Roman" w:hAnsi="Times New Roman" w:eastAsia="楷体" w:cs="Times New Roman"/>
          <w:kern w:val="0"/>
          <w:sz w:val="28"/>
          <w:szCs w:val="28"/>
          <w:lang w:eastAsia="zh-CN"/>
        </w:rPr>
        <w:drawing>
          <wp:inline distT="0" distB="0" distL="114300" distR="114300">
            <wp:extent cx="1215390" cy="1800225"/>
            <wp:effectExtent l="0" t="0" r="3810" b="9525"/>
            <wp:docPr id="3" name="图片 3" descr="sd262a(2)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d262a(2)_副本"/>
                    <pic:cNvPicPr>
                      <a:picLocks noChangeAspect="1"/>
                    </pic:cNvPicPr>
                  </pic:nvPicPr>
                  <pic:blipFill>
                    <a:blip r:embed="rId7"/>
                    <a:stretch>
                      <a:fillRect/>
                    </a:stretch>
                  </pic:blipFill>
                  <pic:spPr>
                    <a:xfrm>
                      <a:off x="0" y="0"/>
                      <a:ext cx="1215390" cy="1800225"/>
                    </a:xfrm>
                    <a:prstGeom prst="rect">
                      <a:avLst/>
                    </a:prstGeom>
                  </pic:spPr>
                </pic:pic>
              </a:graphicData>
            </a:graphic>
          </wp:inline>
        </w:drawing>
      </w:r>
    </w:p>
    <w:p w14:paraId="76AC9F5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SD262A Aniline point tester for petroleum products is designed and manufactured according to the requirements stipulated in the national standard GB/T262 Aniline point tester for petroleum products. It is suitable for the determination of aniline point for light colored petroleum products and dark colored petroleum products.</w:t>
      </w:r>
    </w:p>
    <w:p w14:paraId="01BBBA0F">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The minimum temperature required for petroleum products and an equal volume of aniline to dissolve into a single liquid phase is called the aniline point.</w:t>
      </w:r>
    </w:p>
    <w:p w14:paraId="2E25298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Petroleum Products Aniline Point Tester</w:t>
      </w:r>
    </w:p>
    <w:p w14:paraId="76167E2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Aniline Point Tester of Petroleum Products and Hydrocarbon Solvents</w:t>
      </w:r>
    </w:p>
    <w:p w14:paraId="661C3226">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lang w:val="en-US" w:eastAsia="zh-CN"/>
        </w:rPr>
        <w:t xml:space="preserve">ASTM D611 </w:t>
      </w:r>
      <w:r>
        <w:rPr>
          <w:rFonts w:hint="default" w:ascii="Times New Roman" w:hAnsi="Times New Roman" w:eastAsia="楷体" w:cs="Times New Roman"/>
          <w:sz w:val="28"/>
          <w:szCs w:val="28"/>
        </w:rPr>
        <w:t xml:space="preserve">Aniline Point Tester </w:t>
      </w:r>
    </w:p>
    <w:p w14:paraId="409D969E">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Laboratory</w:t>
      </w:r>
      <w:r>
        <w:rPr>
          <w:rFonts w:hint="default" w:ascii="Times New Roman" w:hAnsi="Times New Roman" w:eastAsia="楷体" w:cs="Times New Roman"/>
          <w:color w:val="000000"/>
          <w:sz w:val="28"/>
          <w:szCs w:val="28"/>
          <w:shd w:val="clear" w:color="auto" w:fill="FFFFFF"/>
        </w:rPr>
        <w:t xml:space="preserve"> GB/T262</w:t>
      </w:r>
      <w:r>
        <w:rPr>
          <w:rFonts w:hint="default" w:ascii="Times New Roman" w:hAnsi="Times New Roman" w:eastAsia="楷体" w:cs="Times New Roman"/>
          <w:sz w:val="28"/>
          <w:szCs w:val="28"/>
        </w:rPr>
        <w:t xml:space="preserve"> Petroleum Products and Hydrocarbon Solvents Aniline Point Tester</w:t>
      </w:r>
    </w:p>
    <w:p w14:paraId="2F7F6FE9">
      <w:pPr>
        <w:keepNext w:val="0"/>
        <w:keepLines w:val="0"/>
        <w:pageBreakBefore w:val="0"/>
        <w:kinsoku/>
        <w:wordWrap/>
        <w:overflowPunct/>
        <w:topLinePunct w:val="0"/>
        <w:autoSpaceDE/>
        <w:autoSpaceDN/>
        <w:bidi w:val="0"/>
        <w:adjustRightInd/>
        <w:snapToGrid/>
        <w:spacing w:before="157" w:beforeLines="50" w:after="157" w:afterLines="50" w:line="440" w:lineRule="exact"/>
        <w:textAlignment w:val="auto"/>
        <w:rPr>
          <w:rStyle w:val="12"/>
          <w:rFonts w:hint="default" w:ascii="Times New Roman" w:hAnsi="Times New Roman" w:eastAsia="楷体" w:cs="Times New Roman"/>
          <w:color w:val="000000"/>
          <w:sz w:val="28"/>
          <w:szCs w:val="28"/>
          <w:shd w:val="clear" w:color="auto" w:fill="FFFFFF"/>
        </w:rPr>
      </w:pPr>
      <w:r>
        <w:rPr>
          <w:rStyle w:val="12"/>
          <w:rFonts w:hint="default" w:ascii="Times New Roman" w:hAnsi="Times New Roman" w:eastAsia="楷体" w:cs="Times New Roman"/>
          <w:color w:val="000000"/>
          <w:sz w:val="28"/>
          <w:szCs w:val="28"/>
          <w:shd w:val="clear" w:color="auto" w:fill="FFFFFF"/>
        </w:rPr>
        <w:t>Instrument Features</w:t>
      </w:r>
    </w:p>
    <w:p w14:paraId="2B1183AA">
      <w:pPr>
        <w:keepNext w:val="0"/>
        <w:keepLines w:val="0"/>
        <w:pageBreakBefore w:val="0"/>
        <w:kinsoku/>
        <w:wordWrap/>
        <w:overflowPunct/>
        <w:topLinePunct w:val="0"/>
        <w:autoSpaceDE/>
        <w:autoSpaceDN/>
        <w:bidi w:val="0"/>
        <w:adjustRightInd/>
        <w:snapToGrid/>
        <w:spacing w:before="157" w:beforeLines="50" w:after="157" w:afterLines="50" w:line="440" w:lineRule="exact"/>
        <w:textAlignment w:val="auto"/>
        <w:rPr>
          <w:rStyle w:val="12"/>
          <w:rFonts w:hint="default" w:ascii="Times New Roman" w:hAnsi="Times New Roman" w:eastAsia="楷体" w:cs="Times New Roman"/>
          <w:b w:val="0"/>
          <w:bCs/>
          <w:color w:val="000000"/>
          <w:sz w:val="28"/>
          <w:szCs w:val="28"/>
          <w:shd w:val="clear" w:color="auto" w:fill="FFFFFF"/>
        </w:rPr>
      </w:pPr>
      <w:r>
        <w:rPr>
          <w:rStyle w:val="12"/>
          <w:rFonts w:hint="default" w:ascii="Times New Roman" w:hAnsi="Times New Roman" w:eastAsia="楷体" w:cs="Times New Roman"/>
          <w:b w:val="0"/>
          <w:bCs/>
          <w:color w:val="000000"/>
          <w:sz w:val="28"/>
          <w:szCs w:val="28"/>
          <w:shd w:val="clear" w:color="auto" w:fill="FFFFFF"/>
        </w:rPr>
        <w:t>1. The design of the instrument fully conforms to the requirements of GB/ T262 standard for the aniline point test of dark petroleum products and light petroleum products.</w:t>
      </w:r>
    </w:p>
    <w:p w14:paraId="529CE646">
      <w:pPr>
        <w:keepNext w:val="0"/>
        <w:keepLines w:val="0"/>
        <w:pageBreakBefore w:val="0"/>
        <w:kinsoku/>
        <w:wordWrap/>
        <w:overflowPunct/>
        <w:topLinePunct w:val="0"/>
        <w:autoSpaceDE/>
        <w:autoSpaceDN/>
        <w:bidi w:val="0"/>
        <w:adjustRightInd/>
        <w:snapToGrid/>
        <w:spacing w:before="157" w:beforeLines="50" w:after="157" w:afterLines="50" w:line="440" w:lineRule="exact"/>
        <w:textAlignment w:val="auto"/>
        <w:rPr>
          <w:rStyle w:val="12"/>
          <w:rFonts w:hint="default" w:ascii="Times New Roman" w:hAnsi="Times New Roman" w:eastAsia="楷体" w:cs="Times New Roman"/>
          <w:b w:val="0"/>
          <w:bCs/>
          <w:color w:val="000000"/>
          <w:sz w:val="28"/>
          <w:szCs w:val="28"/>
          <w:shd w:val="clear" w:color="auto" w:fill="FFFFFF"/>
        </w:rPr>
      </w:pPr>
      <w:r>
        <w:rPr>
          <w:rStyle w:val="12"/>
          <w:rFonts w:hint="default" w:ascii="Times New Roman" w:hAnsi="Times New Roman" w:eastAsia="楷体" w:cs="Times New Roman"/>
          <w:b w:val="0"/>
          <w:bCs/>
          <w:color w:val="000000"/>
          <w:sz w:val="28"/>
          <w:szCs w:val="28"/>
          <w:shd w:val="clear" w:color="auto" w:fill="FFFFFF"/>
        </w:rPr>
        <w:t>2. The instrument can measure the aniline point of heavy oil (dark petroleum products) and light oil (light petroleum products).</w:t>
      </w:r>
    </w:p>
    <w:p w14:paraId="4BBC26A6">
      <w:pPr>
        <w:keepNext w:val="0"/>
        <w:keepLines w:val="0"/>
        <w:pageBreakBefore w:val="0"/>
        <w:kinsoku/>
        <w:wordWrap/>
        <w:overflowPunct/>
        <w:topLinePunct w:val="0"/>
        <w:autoSpaceDE/>
        <w:autoSpaceDN/>
        <w:bidi w:val="0"/>
        <w:adjustRightInd/>
        <w:snapToGrid/>
        <w:spacing w:before="157" w:beforeLines="50" w:after="157" w:afterLines="50" w:line="440" w:lineRule="exact"/>
        <w:textAlignment w:val="auto"/>
        <w:rPr>
          <w:rStyle w:val="12"/>
          <w:rFonts w:hint="default" w:ascii="Times New Roman" w:hAnsi="Times New Roman" w:eastAsia="楷体" w:cs="Times New Roman"/>
          <w:b/>
          <w:color w:val="222222"/>
          <w:sz w:val="28"/>
          <w:szCs w:val="28"/>
          <w:shd w:val="clear" w:color="auto" w:fill="FFFFFF"/>
        </w:rPr>
      </w:pPr>
      <w:r>
        <w:rPr>
          <w:rStyle w:val="12"/>
          <w:rFonts w:hint="default" w:ascii="Times New Roman" w:hAnsi="Times New Roman" w:eastAsia="楷体" w:cs="Times New Roman"/>
          <w:b w:val="0"/>
          <w:bCs/>
          <w:color w:val="000000"/>
          <w:sz w:val="28"/>
          <w:szCs w:val="28"/>
          <w:shd w:val="clear" w:color="auto" w:fill="FFFFFF"/>
        </w:rPr>
        <w:t>3, Temperature control system adopts digital display PID temperature control instrument, high temperature control precision, stable and reliable performance, easy to operate.</w:t>
      </w:r>
    </w:p>
    <w:p w14:paraId="3E204A03">
      <w:pPr>
        <w:pStyle w:val="3"/>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440" w:lineRule="exact"/>
        <w:textAlignment w:val="auto"/>
        <w:rPr>
          <w:rStyle w:val="12"/>
          <w:rFonts w:hint="default" w:ascii="Times New Roman" w:hAnsi="Times New Roman" w:eastAsia="楷体" w:cs="Times New Roman"/>
          <w:b/>
          <w:color w:val="222222"/>
          <w:sz w:val="28"/>
          <w:szCs w:val="28"/>
          <w:shd w:val="clear" w:color="auto" w:fill="FFFFFF"/>
        </w:rPr>
      </w:pPr>
      <w:r>
        <w:rPr>
          <w:rStyle w:val="12"/>
          <w:rFonts w:hint="default" w:ascii="Times New Roman" w:hAnsi="Times New Roman" w:eastAsia="楷体" w:cs="Times New Roman"/>
          <w:b/>
          <w:color w:val="222222"/>
          <w:sz w:val="28"/>
          <w:szCs w:val="28"/>
          <w:shd w:val="clear" w:color="auto" w:fill="FFFFFF"/>
        </w:rPr>
        <w:t>Technical parameters: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5"/>
        <w:gridCol w:w="4927"/>
      </w:tblGrid>
      <w:tr w14:paraId="45EC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7A299567">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ascii="Times New Roman" w:hAnsi="Times New Roman"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Heating mode</w:t>
            </w:r>
          </w:p>
        </w:tc>
        <w:tc>
          <w:tcPr>
            <w:tcW w:w="5767" w:type="dxa"/>
          </w:tcPr>
          <w:p w14:paraId="0F095B59">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ascii="Times New Roman" w:hAnsi="Times New Roman" w:eastAsia="楷体" w:cs="Times New Roman"/>
                <w:b w:val="0"/>
                <w:bCs/>
                <w:color w:val="000000"/>
                <w:sz w:val="28"/>
                <w:szCs w:val="28"/>
                <w:shd w:val="clear" w:color="auto" w:fill="FFFFFF"/>
              </w:rPr>
            </w:pPr>
            <w:r>
              <w:rPr>
                <w:rStyle w:val="12"/>
                <w:rFonts w:hint="default" w:ascii="Times New Roman" w:hAnsi="Times New Roman" w:eastAsia="楷体" w:cs="Times New Roman"/>
                <w:b w:val="0"/>
                <w:bCs/>
                <w:color w:val="000000"/>
                <w:sz w:val="28"/>
                <w:szCs w:val="28"/>
                <w:shd w:val="clear" w:color="auto" w:fill="FFFFFF"/>
              </w:rPr>
              <w:t>Built in stainless steel electric heating tube for heating</w:t>
            </w:r>
          </w:p>
        </w:tc>
      </w:tr>
      <w:tr w14:paraId="6647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62E23181">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ascii="Times New Roman" w:hAnsi="Times New Roman"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Heating power</w:t>
            </w:r>
          </w:p>
        </w:tc>
        <w:tc>
          <w:tcPr>
            <w:tcW w:w="5767" w:type="dxa"/>
          </w:tcPr>
          <w:p w14:paraId="727F7EEC">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ascii="Times New Roman" w:hAnsi="Times New Roman" w:eastAsia="楷体" w:cs="Times New Roman"/>
                <w:b w:val="0"/>
                <w:bCs/>
                <w:color w:val="000000"/>
                <w:sz w:val="28"/>
                <w:szCs w:val="28"/>
                <w:shd w:val="clear" w:color="auto" w:fill="FFFFFF"/>
              </w:rPr>
            </w:pPr>
            <w:r>
              <w:rPr>
                <w:rFonts w:hint="default" w:ascii="Times New Roman" w:hAnsi="Times New Roman" w:eastAsia="楷体" w:cs="Times New Roman"/>
                <w:sz w:val="28"/>
                <w:szCs w:val="28"/>
              </w:rPr>
              <w:t>2kW</w:t>
            </w:r>
          </w:p>
        </w:tc>
      </w:tr>
      <w:tr w14:paraId="64F6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705C4461">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Temp control range</w:t>
            </w:r>
          </w:p>
        </w:tc>
        <w:tc>
          <w:tcPr>
            <w:tcW w:w="5767" w:type="dxa"/>
          </w:tcPr>
          <w:p w14:paraId="41CD389E">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rPr>
            </w:pPr>
            <w:r>
              <w:rPr>
                <w:rFonts w:hint="eastAsia" w:eastAsia="楷体" w:cs="Times New Roman"/>
                <w:sz w:val="28"/>
                <w:szCs w:val="28"/>
                <w:lang w:val="en-US" w:eastAsia="zh-CN"/>
              </w:rPr>
              <w:t xml:space="preserve">RT </w:t>
            </w:r>
            <w:r>
              <w:rPr>
                <w:rFonts w:hint="eastAsia" w:eastAsia="楷体" w:cs="Times New Roman"/>
                <w:sz w:val="28"/>
                <w:szCs w:val="28"/>
                <w:lang w:eastAsia="zh-CN"/>
              </w:rPr>
              <w:t>～</w:t>
            </w:r>
            <w:r>
              <w:rPr>
                <w:rFonts w:hint="eastAsia" w:eastAsia="楷体" w:cs="Times New Roman"/>
                <w:sz w:val="28"/>
                <w:szCs w:val="28"/>
                <w:lang w:val="en-US" w:eastAsia="zh-CN"/>
              </w:rPr>
              <w:t xml:space="preserve"> </w:t>
            </w:r>
            <w:r>
              <w:rPr>
                <w:rFonts w:hint="default" w:ascii="Times New Roman" w:hAnsi="Times New Roman" w:eastAsia="楷体" w:cs="Times New Roman"/>
                <w:sz w:val="28"/>
                <w:szCs w:val="28"/>
              </w:rPr>
              <w:t>200℃</w:t>
            </w:r>
          </w:p>
        </w:tc>
      </w:tr>
      <w:tr w14:paraId="1CF6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721BB848">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Temp control accuracy</w:t>
            </w:r>
          </w:p>
        </w:tc>
        <w:tc>
          <w:tcPr>
            <w:tcW w:w="5767" w:type="dxa"/>
          </w:tcPr>
          <w:p w14:paraId="0CEA023F">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eastAsia" w:eastAsia="楷体" w:cs="Times New Roman"/>
                <w:sz w:val="28"/>
                <w:szCs w:val="28"/>
                <w:lang w:val="en-US" w:eastAsia="zh-CN"/>
              </w:rPr>
            </w:pPr>
            <w:r>
              <w:rPr>
                <w:rFonts w:hint="default" w:ascii="Times New Roman" w:hAnsi="Times New Roman" w:eastAsia="楷体" w:cs="Times New Roman"/>
                <w:sz w:val="28"/>
                <w:szCs w:val="28"/>
              </w:rPr>
              <w:t>≤0.5℃</w:t>
            </w:r>
          </w:p>
        </w:tc>
      </w:tr>
      <w:tr w14:paraId="27C3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01E528A2">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eastAsia"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Lighting power supply</w:t>
            </w:r>
          </w:p>
        </w:tc>
        <w:tc>
          <w:tcPr>
            <w:tcW w:w="5767" w:type="dxa"/>
          </w:tcPr>
          <w:p w14:paraId="1E2AAD44">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lang w:val="en-US" w:eastAsia="zh-CN"/>
              </w:rPr>
            </w:pPr>
            <w:r>
              <w:rPr>
                <w:rFonts w:hint="eastAsia" w:eastAsia="楷体" w:cs="Times New Roman"/>
                <w:sz w:val="28"/>
                <w:szCs w:val="28"/>
                <w:lang w:val="en-US" w:eastAsia="zh-CN"/>
              </w:rPr>
              <w:t>12V</w:t>
            </w:r>
          </w:p>
        </w:tc>
      </w:tr>
      <w:tr w14:paraId="16F5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76886393">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Motor power</w:t>
            </w:r>
          </w:p>
        </w:tc>
        <w:tc>
          <w:tcPr>
            <w:tcW w:w="5767" w:type="dxa"/>
          </w:tcPr>
          <w:p w14:paraId="1F8CD392">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eastAsia" w:eastAsia="楷体" w:cs="Times New Roman"/>
                <w:sz w:val="28"/>
                <w:szCs w:val="28"/>
                <w:lang w:val="en-US" w:eastAsia="zh-CN"/>
              </w:rPr>
            </w:pPr>
            <w:r>
              <w:rPr>
                <w:rFonts w:hint="default" w:ascii="Times New Roman" w:hAnsi="Times New Roman" w:eastAsia="楷体" w:cs="Times New Roman"/>
                <w:sz w:val="28"/>
                <w:szCs w:val="28"/>
              </w:rPr>
              <w:t>6W</w:t>
            </w:r>
          </w:p>
        </w:tc>
      </w:tr>
      <w:tr w14:paraId="0513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51520200">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Working power supply</w:t>
            </w:r>
          </w:p>
        </w:tc>
        <w:tc>
          <w:tcPr>
            <w:tcW w:w="5767" w:type="dxa"/>
          </w:tcPr>
          <w:p w14:paraId="27F9A3F9">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AC220V±10%</w:t>
            </w:r>
            <w:r>
              <w:rPr>
                <w:rFonts w:hint="eastAsia" w:eastAsia="楷体" w:cs="Times New Roman"/>
                <w:sz w:val="28"/>
                <w:szCs w:val="28"/>
                <w:lang w:val="en-US" w:eastAsia="zh-CN"/>
              </w:rPr>
              <w:t xml:space="preserve">  </w:t>
            </w:r>
            <w:r>
              <w:rPr>
                <w:rFonts w:hint="default" w:ascii="Times New Roman" w:hAnsi="Times New Roman" w:eastAsia="楷体" w:cs="Times New Roman"/>
                <w:sz w:val="28"/>
                <w:szCs w:val="28"/>
              </w:rPr>
              <w:t>50Hz</w:t>
            </w:r>
          </w:p>
        </w:tc>
      </w:tr>
      <w:tr w14:paraId="3C3E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0EC21AB6">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Instrument size</w:t>
            </w:r>
          </w:p>
        </w:tc>
        <w:tc>
          <w:tcPr>
            <w:tcW w:w="5767" w:type="dxa"/>
          </w:tcPr>
          <w:p w14:paraId="58DD972A">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280*260*440 mm</w:t>
            </w:r>
          </w:p>
        </w:tc>
      </w:tr>
      <w:tr w14:paraId="3821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4C99EA7C">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Instrument weight</w:t>
            </w:r>
          </w:p>
        </w:tc>
        <w:tc>
          <w:tcPr>
            <w:tcW w:w="5767" w:type="dxa"/>
          </w:tcPr>
          <w:p w14:paraId="2176196E">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5.45kg</w:t>
            </w:r>
          </w:p>
        </w:tc>
      </w:tr>
      <w:tr w14:paraId="1E3D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15A96C74">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Package size</w:t>
            </w:r>
          </w:p>
        </w:tc>
        <w:tc>
          <w:tcPr>
            <w:tcW w:w="5767" w:type="dxa"/>
          </w:tcPr>
          <w:p w14:paraId="10ED6FB9">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rPr>
            </w:pPr>
            <w:r>
              <w:rPr>
                <w:rFonts w:hint="default" w:ascii="Times New Roman" w:hAnsi="Times New Roman" w:eastAsia="楷体" w:cs="Times New Roman"/>
                <w:sz w:val="28"/>
                <w:szCs w:val="28"/>
              </w:rPr>
              <w:t>370*360*500 mm</w:t>
            </w:r>
          </w:p>
        </w:tc>
      </w:tr>
      <w:tr w14:paraId="0EE6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5" w:type="dxa"/>
          </w:tcPr>
          <w:p w14:paraId="3AA0AE14">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Style w:val="12"/>
                <w:rFonts w:hint="default" w:eastAsia="楷体" w:cs="Times New Roman"/>
                <w:b w:val="0"/>
                <w:bCs/>
                <w:color w:val="000000"/>
                <w:sz w:val="28"/>
                <w:szCs w:val="28"/>
                <w:shd w:val="clear" w:color="auto" w:fill="FFFFFF"/>
                <w:lang w:val="en-US" w:eastAsia="zh-CN"/>
              </w:rPr>
            </w:pPr>
            <w:r>
              <w:rPr>
                <w:rStyle w:val="12"/>
                <w:rFonts w:hint="eastAsia" w:eastAsia="楷体" w:cs="Times New Roman"/>
                <w:b w:val="0"/>
                <w:bCs/>
                <w:color w:val="000000"/>
                <w:sz w:val="28"/>
                <w:szCs w:val="28"/>
                <w:shd w:val="clear" w:color="auto" w:fill="FFFFFF"/>
                <w:lang w:val="en-US" w:eastAsia="zh-CN"/>
              </w:rPr>
              <w:t>Package weight</w:t>
            </w:r>
          </w:p>
        </w:tc>
        <w:tc>
          <w:tcPr>
            <w:tcW w:w="5767" w:type="dxa"/>
          </w:tcPr>
          <w:p w14:paraId="68E1B059">
            <w:pPr>
              <w:keepNext w:val="0"/>
              <w:keepLines w:val="0"/>
              <w:pageBreakBefore w:val="0"/>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sz w:val="28"/>
                <w:szCs w:val="28"/>
                <w:lang w:val="en-US" w:eastAsia="zh-CN"/>
              </w:rPr>
            </w:pPr>
            <w:r>
              <w:rPr>
                <w:rFonts w:hint="default" w:ascii="Times New Roman" w:hAnsi="Times New Roman" w:eastAsia="楷体" w:cs="Times New Roman"/>
                <w:sz w:val="28"/>
                <w:szCs w:val="28"/>
              </w:rPr>
              <w:t>13kg</w:t>
            </w:r>
            <w:r>
              <w:rPr>
                <w:rFonts w:hint="eastAsia" w:eastAsia="楷体" w:cs="Times New Roman"/>
                <w:sz w:val="28"/>
                <w:szCs w:val="28"/>
                <w:lang w:val="en-US" w:eastAsia="zh-CN"/>
              </w:rPr>
              <w:t xml:space="preserve"> wooden</w:t>
            </w:r>
          </w:p>
        </w:tc>
      </w:tr>
    </w:tbl>
    <w:p w14:paraId="1D2F9094">
      <w:pPr>
        <w:keepNext w:val="0"/>
        <w:keepLines w:val="0"/>
        <w:pageBreakBefore w:val="0"/>
        <w:kinsoku/>
        <w:wordWrap/>
        <w:overflowPunct/>
        <w:topLinePunct w:val="0"/>
        <w:autoSpaceDE/>
        <w:autoSpaceDN/>
        <w:bidi w:val="0"/>
        <w:adjustRightInd/>
        <w:snapToGrid/>
        <w:spacing w:before="157" w:beforeLines="50" w:after="157" w:afterLines="50" w:line="440" w:lineRule="exact"/>
        <w:jc w:val="left"/>
        <w:textAlignment w:val="auto"/>
        <w:rPr>
          <w:rStyle w:val="12"/>
          <w:rFonts w:hint="default" w:eastAsia="楷体" w:cs="Times New Roman"/>
          <w:b w:val="0"/>
          <w:bCs/>
          <w:color w:val="C00000"/>
          <w:sz w:val="28"/>
          <w:szCs w:val="28"/>
          <w:shd w:val="clear" w:color="auto" w:fill="FFFFFF"/>
          <w:lang w:val="en-US" w:eastAsia="zh-CN"/>
        </w:rPr>
      </w:pPr>
      <w:r>
        <w:rPr>
          <w:rStyle w:val="12"/>
          <w:rFonts w:hint="eastAsia" w:eastAsia="楷体" w:cs="Times New Roman"/>
          <w:b/>
          <w:bCs w:val="0"/>
          <w:color w:val="C00000"/>
          <w:sz w:val="28"/>
          <w:szCs w:val="28"/>
          <w:shd w:val="clear" w:color="auto" w:fill="FFFFFF"/>
          <w:lang w:val="en-US" w:eastAsia="zh-CN"/>
        </w:rPr>
        <w:t xml:space="preserve">Note: </w:t>
      </w:r>
      <w:r>
        <w:rPr>
          <w:rStyle w:val="12"/>
          <w:rFonts w:hint="eastAsia" w:eastAsia="楷体" w:cs="Times New Roman"/>
          <w:b w:val="0"/>
          <w:bCs/>
          <w:color w:val="C00000"/>
          <w:sz w:val="28"/>
          <w:szCs w:val="28"/>
          <w:shd w:val="clear" w:color="auto" w:fill="FFFFFF"/>
          <w:lang w:val="en-US" w:eastAsia="zh-CN"/>
        </w:rPr>
        <w:t>The appearance pictures, dimensions, volume and weight of the instrument are for reference only. If there are any updates to the instrument, they may be slight changes without prior notice.</w:t>
      </w:r>
    </w:p>
    <w:p w14:paraId="31E592C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b/>
          <w:bCs/>
          <w:sz w:val="28"/>
          <w:szCs w:val="28"/>
        </w:rPr>
      </w:pPr>
      <w:r>
        <w:rPr>
          <w:rFonts w:hint="default" w:ascii="Times New Roman" w:hAnsi="Times New Roman" w:eastAsia="楷体" w:cs="Times New Roman"/>
          <w:b/>
          <w:bCs/>
          <w:sz w:val="28"/>
          <w:szCs w:val="28"/>
        </w:rPr>
        <w:t>Packing list</w:t>
      </w:r>
    </w:p>
    <w:tbl>
      <w:tblPr>
        <w:tblStyle w:val="10"/>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3565"/>
        <w:gridCol w:w="1092"/>
        <w:gridCol w:w="1115"/>
        <w:gridCol w:w="1795"/>
      </w:tblGrid>
      <w:tr w14:paraId="6429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5B1FECD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No.</w:t>
            </w:r>
          </w:p>
        </w:tc>
        <w:tc>
          <w:tcPr>
            <w:tcW w:w="2097" w:type="pct"/>
          </w:tcPr>
          <w:p w14:paraId="7560304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Name</w:t>
            </w:r>
          </w:p>
        </w:tc>
        <w:tc>
          <w:tcPr>
            <w:tcW w:w="642" w:type="pct"/>
          </w:tcPr>
          <w:p w14:paraId="453E111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Unit</w:t>
            </w:r>
          </w:p>
        </w:tc>
        <w:tc>
          <w:tcPr>
            <w:tcW w:w="656" w:type="pct"/>
          </w:tcPr>
          <w:p w14:paraId="70036D3E">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Quantity</w:t>
            </w:r>
          </w:p>
        </w:tc>
        <w:tc>
          <w:tcPr>
            <w:tcW w:w="1056" w:type="pct"/>
          </w:tcPr>
          <w:p w14:paraId="72D97B2C">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Remark</w:t>
            </w:r>
          </w:p>
        </w:tc>
      </w:tr>
      <w:tr w14:paraId="5674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47" w:type="pct"/>
          </w:tcPr>
          <w:p w14:paraId="1F670E2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2097" w:type="pct"/>
          </w:tcPr>
          <w:p w14:paraId="628572E3">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lang w:val="en-US" w:eastAsia="zh-CN"/>
              </w:rPr>
            </w:pPr>
            <w:r>
              <w:rPr>
                <w:rFonts w:hint="eastAsia" w:eastAsia="楷体" w:cs="Times New Roman"/>
                <w:kern w:val="0"/>
                <w:sz w:val="28"/>
                <w:szCs w:val="28"/>
                <w:lang w:val="en-US" w:eastAsia="zh-CN"/>
              </w:rPr>
              <w:t>Host</w:t>
            </w:r>
          </w:p>
        </w:tc>
        <w:tc>
          <w:tcPr>
            <w:tcW w:w="642" w:type="pct"/>
          </w:tcPr>
          <w:p w14:paraId="59F75A6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Set</w:t>
            </w:r>
          </w:p>
        </w:tc>
        <w:tc>
          <w:tcPr>
            <w:tcW w:w="656" w:type="pct"/>
          </w:tcPr>
          <w:p w14:paraId="14865BB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7D937C9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5F25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795EC0D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2</w:t>
            </w:r>
          </w:p>
        </w:tc>
        <w:tc>
          <w:tcPr>
            <w:tcW w:w="2097" w:type="pct"/>
          </w:tcPr>
          <w:p w14:paraId="7A13470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lang w:val="en-US" w:eastAsia="zh-CN"/>
              </w:rPr>
            </w:pPr>
            <w:r>
              <w:rPr>
                <w:rFonts w:hint="default" w:ascii="Times New Roman" w:hAnsi="Times New Roman" w:eastAsia="楷体" w:cs="Times New Roman"/>
                <w:kern w:val="0"/>
                <w:sz w:val="28"/>
                <w:szCs w:val="28"/>
              </w:rPr>
              <w:t>Thermometer</w:t>
            </w:r>
            <w:r>
              <w:rPr>
                <w:rFonts w:hint="eastAsia" w:eastAsia="楷体" w:cs="Times New Roman"/>
                <w:kern w:val="0"/>
                <w:sz w:val="28"/>
                <w:szCs w:val="28"/>
                <w:lang w:val="en-US" w:eastAsia="zh-CN"/>
              </w:rPr>
              <w:t xml:space="preserve"> </w:t>
            </w:r>
            <w:r>
              <w:rPr>
                <w:rFonts w:hint="default" w:ascii="Times New Roman" w:hAnsi="Times New Roman" w:eastAsia="楷体" w:cs="Times New Roman"/>
                <w:kern w:val="0"/>
                <w:sz w:val="28"/>
                <w:szCs w:val="28"/>
              </w:rPr>
              <w:t xml:space="preserve">25 </w:t>
            </w:r>
            <w:r>
              <w:rPr>
                <w:rFonts w:hint="eastAsia" w:eastAsia="楷体" w:cs="Times New Roman"/>
                <w:kern w:val="0"/>
                <w:sz w:val="28"/>
                <w:szCs w:val="28"/>
                <w:lang w:eastAsia="zh-CN"/>
              </w:rPr>
              <w:t>～</w:t>
            </w:r>
            <w:r>
              <w:rPr>
                <w:rFonts w:hint="default" w:ascii="Times New Roman" w:hAnsi="Times New Roman" w:eastAsia="楷体" w:cs="Times New Roman"/>
                <w:kern w:val="0"/>
                <w:sz w:val="28"/>
                <w:szCs w:val="28"/>
              </w:rPr>
              <w:t xml:space="preserve"> 105ºC</w:t>
            </w:r>
            <w:r>
              <w:rPr>
                <w:rFonts w:hint="eastAsia" w:eastAsia="楷体" w:cs="Times New Roman"/>
                <w:kern w:val="0"/>
                <w:sz w:val="28"/>
                <w:szCs w:val="28"/>
                <w:lang w:val="en-US" w:eastAsia="zh-CN"/>
              </w:rPr>
              <w:t>, graduation 0.2℃</w:t>
            </w:r>
          </w:p>
        </w:tc>
        <w:tc>
          <w:tcPr>
            <w:tcW w:w="642" w:type="pct"/>
          </w:tcPr>
          <w:p w14:paraId="1424B4AB">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3137684E">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2EE64A1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3AFE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0FDC55C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3</w:t>
            </w:r>
          </w:p>
        </w:tc>
        <w:tc>
          <w:tcPr>
            <w:tcW w:w="2097" w:type="pct"/>
          </w:tcPr>
          <w:p w14:paraId="7046977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eastAsia" w:ascii="Times New Roman" w:hAnsi="Times New Roman" w:eastAsia="楷体" w:cs="Times New Roman"/>
                <w:kern w:val="0"/>
                <w:sz w:val="28"/>
                <w:szCs w:val="28"/>
                <w:lang w:val="en-US" w:eastAsia="zh-CN"/>
              </w:rPr>
            </w:pPr>
            <w:r>
              <w:rPr>
                <w:rFonts w:hint="default" w:ascii="Times New Roman" w:hAnsi="Times New Roman" w:eastAsia="楷体" w:cs="Times New Roman"/>
                <w:kern w:val="0"/>
                <w:sz w:val="28"/>
                <w:szCs w:val="28"/>
              </w:rPr>
              <w:t xml:space="preserve">Thermometer 90 </w:t>
            </w:r>
            <w:r>
              <w:rPr>
                <w:rFonts w:hint="eastAsia" w:eastAsia="楷体" w:cs="Times New Roman"/>
                <w:kern w:val="0"/>
                <w:sz w:val="28"/>
                <w:szCs w:val="28"/>
                <w:lang w:eastAsia="zh-CN"/>
              </w:rPr>
              <w:t>～</w:t>
            </w:r>
            <w:r>
              <w:rPr>
                <w:rFonts w:hint="default" w:ascii="Times New Roman" w:hAnsi="Times New Roman" w:eastAsia="楷体" w:cs="Times New Roman"/>
                <w:kern w:val="0"/>
                <w:sz w:val="28"/>
                <w:szCs w:val="28"/>
              </w:rPr>
              <w:t xml:space="preserve"> 170ºC</w:t>
            </w:r>
            <w:r>
              <w:rPr>
                <w:rFonts w:hint="eastAsia" w:eastAsia="楷体" w:cs="Times New Roman"/>
                <w:kern w:val="0"/>
                <w:sz w:val="28"/>
                <w:szCs w:val="28"/>
                <w:lang w:val="en-US" w:eastAsia="zh-CN"/>
              </w:rPr>
              <w:t>, graduation 0.2</w:t>
            </w:r>
          </w:p>
        </w:tc>
        <w:tc>
          <w:tcPr>
            <w:tcW w:w="642" w:type="pct"/>
          </w:tcPr>
          <w:p w14:paraId="7ED91852">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49C30A5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19DBB33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4436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1166B3E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4</w:t>
            </w:r>
          </w:p>
        </w:tc>
        <w:tc>
          <w:tcPr>
            <w:tcW w:w="2097" w:type="pct"/>
          </w:tcPr>
          <w:p w14:paraId="7DEB4C9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U type tube (For heavy oil)</w:t>
            </w:r>
          </w:p>
        </w:tc>
        <w:tc>
          <w:tcPr>
            <w:tcW w:w="642" w:type="pct"/>
          </w:tcPr>
          <w:p w14:paraId="769152A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7C20CB6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020DC0E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1F55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6E88F5D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5</w:t>
            </w:r>
          </w:p>
        </w:tc>
        <w:tc>
          <w:tcPr>
            <w:tcW w:w="2097" w:type="pct"/>
          </w:tcPr>
          <w:p w14:paraId="7EE67A4F">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Metal shield (For heavy oil)</w:t>
            </w:r>
          </w:p>
        </w:tc>
        <w:tc>
          <w:tcPr>
            <w:tcW w:w="642" w:type="pct"/>
          </w:tcPr>
          <w:p w14:paraId="75834A3B">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410B6DF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2153B6E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6598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7B43777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6</w:t>
            </w:r>
          </w:p>
        </w:tc>
        <w:tc>
          <w:tcPr>
            <w:tcW w:w="2097" w:type="pct"/>
          </w:tcPr>
          <w:p w14:paraId="0680AE1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Illumination bulb assembly (For heavy oil)</w:t>
            </w:r>
          </w:p>
        </w:tc>
        <w:tc>
          <w:tcPr>
            <w:tcW w:w="642" w:type="pct"/>
          </w:tcPr>
          <w:p w14:paraId="37528FAF">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1AA4122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2ADD906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5F15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2B33B0A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7</w:t>
            </w:r>
          </w:p>
        </w:tc>
        <w:tc>
          <w:tcPr>
            <w:tcW w:w="2097" w:type="pct"/>
          </w:tcPr>
          <w:p w14:paraId="2F19668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Seat 2 for test device (For heavy oil)</w:t>
            </w:r>
          </w:p>
        </w:tc>
        <w:tc>
          <w:tcPr>
            <w:tcW w:w="642" w:type="pct"/>
          </w:tcPr>
          <w:p w14:paraId="7FE5468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20BE133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53A5922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With stirring motor assembly</w:t>
            </w:r>
          </w:p>
        </w:tc>
      </w:tr>
      <w:tr w14:paraId="5406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547" w:type="pct"/>
          </w:tcPr>
          <w:p w14:paraId="4DC22149">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8</w:t>
            </w:r>
          </w:p>
        </w:tc>
        <w:tc>
          <w:tcPr>
            <w:tcW w:w="2097" w:type="pct"/>
          </w:tcPr>
          <w:p w14:paraId="01C830B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Glass test tube</w:t>
            </w:r>
            <w:r>
              <w:rPr>
                <w:rFonts w:hint="eastAsia" w:eastAsia="楷体" w:cs="Times New Roman"/>
                <w:kern w:val="0"/>
                <w:sz w:val="28"/>
                <w:szCs w:val="28"/>
                <w:lang w:val="en-US" w:eastAsia="zh-CN"/>
              </w:rPr>
              <w:t xml:space="preserve"> </w:t>
            </w:r>
            <w:r>
              <w:rPr>
                <w:rFonts w:hint="default" w:ascii="Times New Roman" w:hAnsi="Times New Roman" w:eastAsia="楷体" w:cs="Times New Roman"/>
                <w:kern w:val="0"/>
                <w:sz w:val="28"/>
                <w:szCs w:val="28"/>
              </w:rPr>
              <w:t>(For light oil)</w:t>
            </w:r>
          </w:p>
        </w:tc>
        <w:tc>
          <w:tcPr>
            <w:tcW w:w="642" w:type="pct"/>
          </w:tcPr>
          <w:p w14:paraId="2C39E0E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7853514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2</w:t>
            </w:r>
          </w:p>
        </w:tc>
        <w:tc>
          <w:tcPr>
            <w:tcW w:w="1056" w:type="pct"/>
          </w:tcPr>
          <w:p w14:paraId="08672CB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Φ25</w:t>
            </w:r>
          </w:p>
        </w:tc>
      </w:tr>
      <w:tr w14:paraId="7A79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3360663C">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9</w:t>
            </w:r>
          </w:p>
        </w:tc>
        <w:tc>
          <w:tcPr>
            <w:tcW w:w="2097" w:type="pct"/>
          </w:tcPr>
          <w:p w14:paraId="54589E6B">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Glass casing tube (For light oil)</w:t>
            </w:r>
          </w:p>
        </w:tc>
        <w:tc>
          <w:tcPr>
            <w:tcW w:w="642" w:type="pct"/>
          </w:tcPr>
          <w:p w14:paraId="1315593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Piece</w:t>
            </w:r>
          </w:p>
        </w:tc>
        <w:tc>
          <w:tcPr>
            <w:tcW w:w="656" w:type="pct"/>
          </w:tcPr>
          <w:p w14:paraId="03D16A8F">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1</w:t>
            </w:r>
          </w:p>
        </w:tc>
        <w:tc>
          <w:tcPr>
            <w:tcW w:w="1056" w:type="pct"/>
          </w:tcPr>
          <w:p w14:paraId="0616F82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Φ40</w:t>
            </w:r>
          </w:p>
        </w:tc>
      </w:tr>
      <w:tr w14:paraId="4588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1364C8CF">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lang w:val="en-US" w:eastAsia="zh-CN"/>
              </w:rPr>
            </w:pPr>
            <w:r>
              <w:rPr>
                <w:rFonts w:hint="eastAsia" w:eastAsia="楷体" w:cs="Times New Roman"/>
                <w:kern w:val="0"/>
                <w:sz w:val="28"/>
                <w:szCs w:val="28"/>
                <w:lang w:val="en-US" w:eastAsia="zh-CN"/>
              </w:rPr>
              <w:t>10</w:t>
            </w:r>
          </w:p>
        </w:tc>
        <w:tc>
          <w:tcPr>
            <w:tcW w:w="2097" w:type="pct"/>
          </w:tcPr>
          <w:p w14:paraId="26FA86FC">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eastAsia" w:eastAsia="楷体" w:cs="Times New Roman"/>
                <w:color w:val="222222"/>
                <w:kern w:val="0"/>
                <w:sz w:val="28"/>
                <w:szCs w:val="28"/>
                <w:shd w:val="clear" w:color="auto" w:fill="FFFFFF"/>
                <w:lang w:eastAsia="zh-CN"/>
              </w:rPr>
              <w:t>Soft ring plug (for light oil testing)</w:t>
            </w:r>
          </w:p>
        </w:tc>
        <w:tc>
          <w:tcPr>
            <w:tcW w:w="642" w:type="pct"/>
          </w:tcPr>
          <w:p w14:paraId="0BD7C6B3">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lang w:val="en-US" w:eastAsia="zh-CN"/>
              </w:rPr>
            </w:pPr>
            <w:r>
              <w:rPr>
                <w:rFonts w:hint="eastAsia" w:eastAsia="楷体" w:cs="Times New Roman"/>
                <w:kern w:val="0"/>
                <w:sz w:val="28"/>
                <w:szCs w:val="28"/>
                <w:lang w:val="en-US" w:eastAsia="zh-CN"/>
              </w:rPr>
              <w:t>Piece</w:t>
            </w:r>
          </w:p>
        </w:tc>
        <w:tc>
          <w:tcPr>
            <w:tcW w:w="656" w:type="pct"/>
          </w:tcPr>
          <w:p w14:paraId="3309815D">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eastAsia" w:ascii="Times New Roman" w:hAnsi="Times New Roman" w:eastAsia="楷体" w:cs="Times New Roman"/>
                <w:kern w:val="0"/>
                <w:sz w:val="28"/>
                <w:szCs w:val="28"/>
                <w:lang w:val="en-US" w:eastAsia="zh-CN"/>
              </w:rPr>
            </w:pPr>
            <w:r>
              <w:rPr>
                <w:rFonts w:hint="eastAsia" w:eastAsia="楷体" w:cs="Times New Roman"/>
                <w:kern w:val="0"/>
                <w:sz w:val="28"/>
                <w:szCs w:val="28"/>
                <w:lang w:val="en-US" w:eastAsia="zh-CN"/>
              </w:rPr>
              <w:t>1</w:t>
            </w:r>
          </w:p>
        </w:tc>
        <w:tc>
          <w:tcPr>
            <w:tcW w:w="1056" w:type="pct"/>
          </w:tcPr>
          <w:p w14:paraId="3A032A6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Central hole Φ 25</w:t>
            </w:r>
          </w:p>
        </w:tc>
      </w:tr>
      <w:tr w14:paraId="068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29F522AC">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11</w:t>
            </w:r>
          </w:p>
        </w:tc>
        <w:tc>
          <w:tcPr>
            <w:tcW w:w="2097" w:type="pct"/>
          </w:tcPr>
          <w:p w14:paraId="79092429">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eastAsia" w:eastAsia="楷体" w:cs="Times New Roman"/>
                <w:color w:val="222222"/>
                <w:kern w:val="0"/>
                <w:sz w:val="28"/>
                <w:szCs w:val="28"/>
                <w:shd w:val="clear" w:color="auto" w:fill="FFFFFF"/>
                <w:lang w:eastAsia="zh-CN"/>
              </w:rPr>
            </w:pPr>
            <w:r>
              <w:rPr>
                <w:rFonts w:hint="eastAsia" w:eastAsia="楷体" w:cs="Times New Roman"/>
                <w:color w:val="222222"/>
                <w:kern w:val="0"/>
                <w:sz w:val="28"/>
                <w:szCs w:val="28"/>
                <w:shd w:val="clear" w:color="auto" w:fill="FFFFFF"/>
                <w:lang w:eastAsia="zh-CN"/>
              </w:rPr>
              <w:t>Test tube plug (for light oil testing)</w:t>
            </w:r>
          </w:p>
        </w:tc>
        <w:tc>
          <w:tcPr>
            <w:tcW w:w="642" w:type="pct"/>
          </w:tcPr>
          <w:p w14:paraId="77E22BD2">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Piece</w:t>
            </w:r>
          </w:p>
        </w:tc>
        <w:tc>
          <w:tcPr>
            <w:tcW w:w="656" w:type="pct"/>
          </w:tcPr>
          <w:p w14:paraId="48CD0BB5">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w:t>
            </w:r>
          </w:p>
        </w:tc>
        <w:tc>
          <w:tcPr>
            <w:tcW w:w="1056" w:type="pct"/>
          </w:tcPr>
          <w:p w14:paraId="424F7EF3">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r>
              <w:rPr>
                <w:rFonts w:hint="default" w:ascii="Times New Roman" w:hAnsi="Times New Roman" w:eastAsia="楷体" w:cs="Times New Roman"/>
                <w:kern w:val="0"/>
                <w:sz w:val="28"/>
                <w:szCs w:val="28"/>
              </w:rPr>
              <w:t>Central hole Φ 9 and mixing rod hole</w:t>
            </w:r>
          </w:p>
        </w:tc>
      </w:tr>
      <w:tr w14:paraId="1086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63CE1CAC">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12</w:t>
            </w:r>
          </w:p>
        </w:tc>
        <w:tc>
          <w:tcPr>
            <w:tcW w:w="2097" w:type="pct"/>
          </w:tcPr>
          <w:p w14:paraId="424A759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eastAsia" w:eastAsia="楷体" w:cs="Times New Roman"/>
                <w:color w:val="222222"/>
                <w:kern w:val="0"/>
                <w:sz w:val="28"/>
                <w:szCs w:val="28"/>
                <w:shd w:val="clear" w:color="auto" w:fill="FFFFFF"/>
                <w:lang w:eastAsia="zh-CN"/>
              </w:rPr>
            </w:pPr>
            <w:r>
              <w:rPr>
                <w:rFonts w:hint="eastAsia" w:eastAsia="楷体" w:cs="Times New Roman"/>
                <w:color w:val="222222"/>
                <w:kern w:val="0"/>
                <w:sz w:val="28"/>
                <w:szCs w:val="28"/>
                <w:shd w:val="clear" w:color="auto" w:fill="FFFFFF"/>
                <w:lang w:eastAsia="zh-CN"/>
              </w:rPr>
              <w:t>Mixing rod (for light oil testing)</w:t>
            </w:r>
          </w:p>
        </w:tc>
        <w:tc>
          <w:tcPr>
            <w:tcW w:w="642" w:type="pct"/>
          </w:tcPr>
          <w:p w14:paraId="5BB2900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Root</w:t>
            </w:r>
          </w:p>
        </w:tc>
        <w:tc>
          <w:tcPr>
            <w:tcW w:w="656" w:type="pct"/>
          </w:tcPr>
          <w:p w14:paraId="619533F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w:t>
            </w:r>
          </w:p>
        </w:tc>
        <w:tc>
          <w:tcPr>
            <w:tcW w:w="1056" w:type="pct"/>
          </w:tcPr>
          <w:p w14:paraId="4C043DF9">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r w14:paraId="445F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47" w:type="pct"/>
          </w:tcPr>
          <w:p w14:paraId="031C4CC1">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13</w:t>
            </w:r>
          </w:p>
        </w:tc>
        <w:tc>
          <w:tcPr>
            <w:tcW w:w="2097" w:type="pct"/>
          </w:tcPr>
          <w:p w14:paraId="0C924B0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eastAsia" w:eastAsia="楷体" w:cs="Times New Roman"/>
                <w:color w:val="222222"/>
                <w:kern w:val="0"/>
                <w:sz w:val="28"/>
                <w:szCs w:val="28"/>
                <w:shd w:val="clear" w:color="auto" w:fill="FFFFFF"/>
                <w:lang w:eastAsia="zh-CN"/>
              </w:rPr>
            </w:pPr>
            <w:r>
              <w:rPr>
                <w:rFonts w:hint="default" w:ascii="Times New Roman" w:hAnsi="Times New Roman" w:eastAsia="楷体" w:cs="Times New Roman"/>
                <w:kern w:val="0"/>
                <w:sz w:val="28"/>
                <w:szCs w:val="28"/>
              </w:rPr>
              <w:t xml:space="preserve">Seat </w:t>
            </w:r>
            <w:r>
              <w:rPr>
                <w:rFonts w:hint="eastAsia" w:eastAsia="楷体" w:cs="Times New Roman"/>
                <w:kern w:val="0"/>
                <w:sz w:val="28"/>
                <w:szCs w:val="28"/>
                <w:lang w:val="en-US" w:eastAsia="zh-CN"/>
              </w:rPr>
              <w:t>1</w:t>
            </w:r>
            <w:r>
              <w:rPr>
                <w:rFonts w:hint="default" w:ascii="Times New Roman" w:hAnsi="Times New Roman" w:eastAsia="楷体" w:cs="Times New Roman"/>
                <w:kern w:val="0"/>
                <w:sz w:val="28"/>
                <w:szCs w:val="28"/>
              </w:rPr>
              <w:t xml:space="preserve"> for test device (For </w:t>
            </w:r>
            <w:r>
              <w:rPr>
                <w:rFonts w:hint="eastAsia" w:eastAsia="楷体" w:cs="Times New Roman"/>
                <w:kern w:val="0"/>
                <w:sz w:val="28"/>
                <w:szCs w:val="28"/>
                <w:lang w:val="en-US" w:eastAsia="zh-CN"/>
              </w:rPr>
              <w:t>light</w:t>
            </w:r>
            <w:r>
              <w:rPr>
                <w:rFonts w:hint="default" w:ascii="Times New Roman" w:hAnsi="Times New Roman" w:eastAsia="楷体" w:cs="Times New Roman"/>
                <w:kern w:val="0"/>
                <w:sz w:val="28"/>
                <w:szCs w:val="28"/>
              </w:rPr>
              <w:t xml:space="preserve"> oil)</w:t>
            </w:r>
          </w:p>
        </w:tc>
        <w:tc>
          <w:tcPr>
            <w:tcW w:w="642" w:type="pct"/>
          </w:tcPr>
          <w:p w14:paraId="3CBC7E2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Piece</w:t>
            </w:r>
          </w:p>
        </w:tc>
        <w:tc>
          <w:tcPr>
            <w:tcW w:w="656" w:type="pct"/>
          </w:tcPr>
          <w:p w14:paraId="40E81862">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eastAsia="楷体" w:cs="Times New Roman"/>
                <w:kern w:val="0"/>
                <w:sz w:val="28"/>
                <w:szCs w:val="28"/>
                <w:lang w:val="en-US" w:eastAsia="zh-CN"/>
              </w:rPr>
            </w:pPr>
            <w:r>
              <w:rPr>
                <w:rFonts w:hint="eastAsia" w:eastAsia="楷体" w:cs="Times New Roman"/>
                <w:kern w:val="0"/>
                <w:sz w:val="28"/>
                <w:szCs w:val="28"/>
                <w:lang w:val="en-US" w:eastAsia="zh-CN"/>
              </w:rPr>
              <w:t>1</w:t>
            </w:r>
          </w:p>
        </w:tc>
        <w:tc>
          <w:tcPr>
            <w:tcW w:w="1056" w:type="pct"/>
          </w:tcPr>
          <w:p w14:paraId="18A88CB0">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center"/>
              <w:textAlignment w:val="auto"/>
              <w:rPr>
                <w:rFonts w:hint="default" w:ascii="Times New Roman" w:hAnsi="Times New Roman" w:eastAsia="楷体" w:cs="Times New Roman"/>
                <w:kern w:val="0"/>
                <w:sz w:val="28"/>
                <w:szCs w:val="28"/>
              </w:rPr>
            </w:pPr>
          </w:p>
        </w:tc>
      </w:tr>
    </w:tbl>
    <w:p w14:paraId="46E2D37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1</w:t>
      </w: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Operation Manual</w:t>
      </w:r>
      <w:r>
        <w:rPr>
          <w:rFonts w:hint="eastAsia" w:eastAsia="楷体" w:cs="Times New Roman"/>
          <w:color w:val="222222"/>
          <w:kern w:val="0"/>
          <w:sz w:val="28"/>
          <w:szCs w:val="28"/>
          <w:shd w:val="clear" w:color="auto" w:fill="FFFFFF"/>
          <w:lang w:val="en-US" w:eastAsia="zh-CN"/>
        </w:rPr>
        <w:t xml:space="preserve">                </w:t>
      </w:r>
      <w:r>
        <w:rPr>
          <w:rFonts w:hint="default" w:ascii="Times New Roman" w:hAnsi="Times New Roman" w:eastAsia="楷体" w:cs="Times New Roman"/>
          <w:color w:val="222222"/>
          <w:kern w:val="0"/>
          <w:sz w:val="28"/>
          <w:szCs w:val="28"/>
          <w:shd w:val="clear" w:color="auto" w:fill="FFFFFF"/>
        </w:rPr>
        <w:t>1 piece</w:t>
      </w:r>
    </w:p>
    <w:p w14:paraId="4931DCE9">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2</w:t>
      </w: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Repair Guarantee</w:t>
      </w:r>
      <w:r>
        <w:rPr>
          <w:rFonts w:hint="eastAsia" w:eastAsia="楷体" w:cs="Times New Roman"/>
          <w:color w:val="222222"/>
          <w:kern w:val="0"/>
          <w:sz w:val="28"/>
          <w:szCs w:val="28"/>
          <w:shd w:val="clear" w:color="auto" w:fill="FFFFFF"/>
          <w:lang w:val="en-US" w:eastAsia="zh-CN"/>
        </w:rPr>
        <w:t xml:space="preserve">                </w:t>
      </w:r>
      <w:r>
        <w:rPr>
          <w:rFonts w:hint="default" w:ascii="Times New Roman" w:hAnsi="Times New Roman" w:eastAsia="楷体" w:cs="Times New Roman"/>
          <w:color w:val="222222"/>
          <w:kern w:val="0"/>
          <w:sz w:val="28"/>
          <w:szCs w:val="28"/>
          <w:shd w:val="clear" w:color="auto" w:fill="FFFFFF"/>
        </w:rPr>
        <w:t>1 piece</w:t>
      </w:r>
    </w:p>
    <w:p w14:paraId="4E461EB8">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3</w:t>
      </w:r>
      <w:r>
        <w:rPr>
          <w:rFonts w:hint="eastAsia" w:eastAsia="楷体" w:cs="Times New Roman"/>
          <w:color w:val="222222"/>
          <w:kern w:val="0"/>
          <w:sz w:val="28"/>
          <w:szCs w:val="28"/>
          <w:shd w:val="clear" w:color="auto" w:fill="FFFFFF"/>
          <w:lang w:eastAsia="zh-CN"/>
        </w:rPr>
        <w:t>）</w:t>
      </w:r>
      <w:r>
        <w:rPr>
          <w:rFonts w:hint="default" w:ascii="Times New Roman" w:hAnsi="Times New Roman" w:eastAsia="楷体" w:cs="Times New Roman"/>
          <w:color w:val="222222"/>
          <w:kern w:val="0"/>
          <w:sz w:val="28"/>
          <w:szCs w:val="28"/>
          <w:shd w:val="clear" w:color="auto" w:fill="FFFFFF"/>
        </w:rPr>
        <w:t>Quality Certificate</w:t>
      </w:r>
      <w:r>
        <w:rPr>
          <w:rFonts w:hint="eastAsia" w:eastAsia="楷体" w:cs="Times New Roman"/>
          <w:color w:val="222222"/>
          <w:kern w:val="0"/>
          <w:sz w:val="28"/>
          <w:szCs w:val="28"/>
          <w:shd w:val="clear" w:color="auto" w:fill="FFFFFF"/>
          <w:lang w:val="en-US" w:eastAsia="zh-CN"/>
        </w:rPr>
        <w:t xml:space="preserve">               1</w:t>
      </w:r>
      <w:r>
        <w:rPr>
          <w:rFonts w:hint="default" w:ascii="Times New Roman" w:hAnsi="Times New Roman" w:eastAsia="楷体" w:cs="Times New Roman"/>
          <w:color w:val="222222"/>
          <w:kern w:val="0"/>
          <w:sz w:val="28"/>
          <w:szCs w:val="28"/>
          <w:shd w:val="clear" w:color="auto" w:fill="FFFFFF"/>
        </w:rPr>
        <w:t xml:space="preserve"> piece</w:t>
      </w:r>
    </w:p>
    <w:p w14:paraId="1250D6F9">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p>
    <w:p w14:paraId="13ED364B">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Shandong Shengtai Instrument Co., Ltd. provides the following quality assurance for the instruments sold to you:</w:t>
      </w:r>
    </w:p>
    <w:p w14:paraId="1B66F1A4">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----The provided instrument materials are brand new, meet national quality standards, and have a manufacturer's certificate of conformity;</w:t>
      </w:r>
    </w:p>
    <w:p w14:paraId="579FC3AF">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----The materials and main components provided meet the technical requirements specified in the technical documentation;</w:t>
      </w:r>
    </w:p>
    <w:p w14:paraId="4EDD2CB6">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----The overall quality assurance period of the equipment is one year (excluding normal wear and tear of vulnerable parts).</w:t>
      </w:r>
    </w:p>
    <w:p w14:paraId="7AEA6607">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----We are responsible for free maintenance of any instrument quality issues that occur during the warranty period. Due to equipment malfunction caused by the user's responsibility, we are responsible for repairing and charging reasonable fees.</w:t>
      </w:r>
    </w:p>
    <w:p w14:paraId="2BCD72DE">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----Lifetime discounted supply of parts for equipment, and lifetime maintenance and repair of the entire machine.</w:t>
      </w:r>
    </w:p>
    <w:p w14:paraId="7B2BD45A">
      <w:pPr>
        <w:keepNext w:val="0"/>
        <w:keepLines w:val="0"/>
        <w:pageBreakBefore w:val="0"/>
        <w:widowControl/>
        <w:kinsoku/>
        <w:wordWrap/>
        <w:overflowPunct/>
        <w:topLinePunct w:val="0"/>
        <w:autoSpaceDE/>
        <w:autoSpaceDN/>
        <w:bidi w:val="0"/>
        <w:adjustRightInd/>
        <w:snapToGrid/>
        <w:spacing w:before="157" w:beforeLines="50" w:after="157" w:afterLines="50" w:line="440" w:lineRule="exact"/>
        <w:jc w:val="left"/>
        <w:textAlignment w:val="auto"/>
        <w:rPr>
          <w:rFonts w:hint="default" w:ascii="Times New Roman" w:hAnsi="Times New Roman" w:eastAsia="楷体" w:cs="Times New Roman"/>
          <w:color w:val="222222"/>
          <w:kern w:val="0"/>
          <w:sz w:val="28"/>
          <w:szCs w:val="28"/>
          <w:shd w:val="clear" w:color="auto" w:fill="FFFFFF"/>
        </w:rPr>
      </w:pPr>
      <w:r>
        <w:rPr>
          <w:rFonts w:hint="default" w:ascii="Times New Roman" w:hAnsi="Times New Roman" w:eastAsia="楷体" w:cs="Times New Roman"/>
          <w:color w:val="222222"/>
          <w:kern w:val="0"/>
          <w:sz w:val="28"/>
          <w:szCs w:val="28"/>
          <w:shd w:val="clear" w:color="auto" w:fill="FFFFFF"/>
        </w:rPr>
        <w:t>----After the expiration of the warranty period, if the user needs maintenance and technical services, we will only charge a cost fee.</w:t>
      </w:r>
    </w:p>
    <w:p w14:paraId="33982AC5">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4C946">
    <w:pPr>
      <w:rPr>
        <w:sz w:val="28"/>
        <w:szCs w:val="28"/>
      </w:rPr>
    </w:pPr>
    <w:r>
      <w:rPr>
        <w:sz w:val="28"/>
        <w:szCs w:val="28"/>
      </w:rPr>
      <w:t xml:space="preserve">Shandong Shengtai Instrument Co.,ltd  </w:t>
    </w:r>
  </w:p>
  <w:p w14:paraId="183FDFC1">
    <w:pPr>
      <w:rPr>
        <w:sz w:val="28"/>
        <w:szCs w:val="28"/>
      </w:rPr>
    </w:pPr>
    <w:r>
      <w:rPr>
        <w:sz w:val="28"/>
        <w:szCs w:val="28"/>
      </w:rPr>
      <w:t xml:space="preserve">ADD：6-8 time base NO.15 lanxiang road tianqiao Area jinan city  </w:t>
    </w:r>
  </w:p>
  <w:p w14:paraId="331C9633">
    <w:pPr>
      <w:rPr>
        <w:sz w:val="28"/>
        <w:szCs w:val="28"/>
      </w:rPr>
    </w:pPr>
    <w:r>
      <w:rPr>
        <w:sz w:val="28"/>
        <w:szCs w:val="28"/>
      </w:rPr>
      <w:t>TEL：</w:t>
    </w:r>
    <w:r>
      <w:rPr>
        <w:rFonts w:hint="eastAsia"/>
        <w:sz w:val="28"/>
        <w:szCs w:val="28"/>
      </w:rPr>
      <w:t>+86</w:t>
    </w:r>
    <w:r>
      <w:rPr>
        <w:sz w:val="28"/>
        <w:szCs w:val="28"/>
      </w:rPr>
      <w:t xml:space="preserve">0531-85919987   </w:t>
    </w:r>
    <w:r>
      <w:rPr>
        <w:rFonts w:hint="eastAsia"/>
        <w:sz w:val="28"/>
        <w:szCs w:val="28"/>
      </w:rPr>
      <w:t>+86</w:t>
    </w:r>
    <w:r>
      <w:rPr>
        <w:sz w:val="28"/>
        <w:szCs w:val="28"/>
      </w:rPr>
      <w:t>85929987</w:t>
    </w:r>
  </w:p>
  <w:p w14:paraId="7ABFBCD4">
    <w:pPr>
      <w:rPr>
        <w:sz w:val="28"/>
        <w:szCs w:val="28"/>
      </w:rPr>
    </w:pPr>
    <w:r>
      <w:rPr>
        <w:sz w:val="28"/>
        <w:szCs w:val="28"/>
      </w:rPr>
      <w:t>FAX：</w:t>
    </w:r>
    <w:r>
      <w:rPr>
        <w:rFonts w:hint="eastAsia"/>
        <w:sz w:val="28"/>
        <w:szCs w:val="28"/>
      </w:rPr>
      <w:t>+86</w:t>
    </w:r>
    <w:r>
      <w:rPr>
        <w:sz w:val="28"/>
        <w:szCs w:val="28"/>
      </w:rPr>
      <w:t>0531-85957987</w:t>
    </w:r>
  </w:p>
  <w:p w14:paraId="1009F760">
    <w:pPr>
      <w:rPr>
        <w:sz w:val="28"/>
        <w:szCs w:val="28"/>
      </w:rPr>
    </w:pPr>
    <w:r>
      <w:rPr>
        <w:sz w:val="28"/>
        <w:szCs w:val="28"/>
      </w:rPr>
      <w:t>Web：</w:t>
    </w:r>
    <w:r>
      <w:fldChar w:fldCharType="begin"/>
    </w:r>
    <w:r>
      <w:instrText xml:space="preserve"> HYPERLINK "http://www.st-test.net" </w:instrText>
    </w:r>
    <w:r>
      <w:fldChar w:fldCharType="separate"/>
    </w:r>
    <w:r>
      <w:rPr>
        <w:sz w:val="28"/>
        <w:szCs w:val="28"/>
      </w:rPr>
      <w:t>www.labtool.net</w:t>
    </w:r>
    <w:r>
      <w:rPr>
        <w:sz w:val="28"/>
        <w:szCs w:val="28"/>
      </w:rPr>
      <w:fldChar w:fldCharType="end"/>
    </w:r>
    <w:r>
      <w:rPr>
        <w:sz w:val="28"/>
        <w:szCs w:val="28"/>
      </w:rPr>
      <w:t>/en</w:t>
    </w:r>
  </w:p>
  <w:p w14:paraId="396D461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B655">
    <w:pPr>
      <w:pStyle w:val="6"/>
      <w:rPr>
        <w:b/>
        <w:spacing w:val="52"/>
        <w:sz w:val="44"/>
        <w:szCs w:val="44"/>
      </w:rPr>
    </w:pPr>
    <w:r>
      <w:rPr>
        <w:rFonts w:hint="eastAsia"/>
        <w:b/>
        <w:spacing w:val="52"/>
        <w:sz w:val="44"/>
        <w:szCs w:val="44"/>
      </w:rPr>
      <w:drawing>
        <wp:anchor distT="0" distB="0" distL="114300" distR="114300" simplePos="0" relativeHeight="251659264" behindDoc="1" locked="0" layoutInCell="1" allowOverlap="1">
          <wp:simplePos x="0" y="0"/>
          <wp:positionH relativeFrom="column">
            <wp:posOffset>-114300</wp:posOffset>
          </wp:positionH>
          <wp:positionV relativeFrom="paragraph">
            <wp:posOffset>-244475</wp:posOffset>
          </wp:positionV>
          <wp:extent cx="1003300" cy="891540"/>
          <wp:effectExtent l="0" t="0" r="6350" b="3810"/>
          <wp:wrapNone/>
          <wp:docPr id="2" name="图片 1" descr="qiy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iyelogo"/>
                  <pic:cNvPicPr>
                    <a:picLocks noChangeAspect="1"/>
                  </pic:cNvPicPr>
                </pic:nvPicPr>
                <pic:blipFill>
                  <a:blip r:embed="rId1"/>
                  <a:srcRect r="20157"/>
                  <a:stretch>
                    <a:fillRect/>
                  </a:stretch>
                </pic:blipFill>
                <pic:spPr>
                  <a:xfrm>
                    <a:off x="0" y="0"/>
                    <a:ext cx="1003300" cy="891540"/>
                  </a:xfrm>
                  <a:prstGeom prst="rect">
                    <a:avLst/>
                  </a:prstGeom>
                  <a:noFill/>
                  <a:ln w="9525">
                    <a:noFill/>
                  </a:ln>
                </pic:spPr>
              </pic:pic>
            </a:graphicData>
          </a:graphic>
        </wp:anchor>
      </w:drawing>
    </w:r>
    <w:r>
      <w:rPr>
        <w:rFonts w:hint="eastAsia"/>
        <w:b/>
        <w:spacing w:val="52"/>
        <w:sz w:val="44"/>
        <w:szCs w:val="44"/>
      </w:rPr>
      <w:t xml:space="preserve"> 山东盛泰仪器有限公司</w:t>
    </w:r>
  </w:p>
  <w:p w14:paraId="459C84B5">
    <w:pPr>
      <w:pStyle w:val="6"/>
      <w:rPr>
        <w:b/>
        <w:spacing w:val="20"/>
        <w:kern w:val="6"/>
        <w:sz w:val="32"/>
        <w:szCs w:val="32"/>
      </w:rPr>
    </w:pPr>
    <w:r>
      <w:rPr>
        <w:rFonts w:hint="eastAsia" w:ascii="Arial" w:hAnsi="Arial" w:eastAsia="黑体" w:cs="Arial"/>
        <w:color w:val="000000"/>
        <w:spacing w:val="20"/>
        <w:kern w:val="6"/>
        <w:sz w:val="32"/>
        <w:szCs w:val="32"/>
      </w:rPr>
      <w:t xml:space="preserve">    Shandong</w:t>
    </w:r>
    <w:r>
      <w:rPr>
        <w:rFonts w:ascii="Arial" w:hAnsi="Arial" w:eastAsia="黑体" w:cs="Arial"/>
        <w:color w:val="000000"/>
        <w:spacing w:val="20"/>
        <w:kern w:val="6"/>
        <w:sz w:val="32"/>
        <w:szCs w:val="32"/>
      </w:rPr>
      <w:t xml:space="preserve"> Shen</w:t>
    </w:r>
    <w:r>
      <w:rPr>
        <w:rFonts w:hint="eastAsia" w:ascii="Arial" w:hAnsi="Arial" w:eastAsia="黑体" w:cs="Arial"/>
        <w:color w:val="000000"/>
        <w:spacing w:val="20"/>
        <w:kern w:val="6"/>
        <w:sz w:val="32"/>
        <w:szCs w:val="32"/>
      </w:rPr>
      <w:t>g</w:t>
    </w:r>
    <w:r>
      <w:rPr>
        <w:rFonts w:ascii="Arial" w:hAnsi="Arial" w:eastAsia="黑体" w:cs="Arial"/>
        <w:color w:val="000000"/>
        <w:spacing w:val="20"/>
        <w:kern w:val="6"/>
        <w:sz w:val="32"/>
        <w:szCs w:val="32"/>
      </w:rPr>
      <w:t>tai Instrument Co., 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iZGZkYjY2MGM0ODM2ZjNiZmM0MGU0M2Y1NjE0MTIifQ=="/>
  </w:docVars>
  <w:rsids>
    <w:rsidRoot w:val="62366A52"/>
    <w:rsid w:val="000A4494"/>
    <w:rsid w:val="000D1D88"/>
    <w:rsid w:val="001660DF"/>
    <w:rsid w:val="001F186C"/>
    <w:rsid w:val="002C6477"/>
    <w:rsid w:val="0033190F"/>
    <w:rsid w:val="00473977"/>
    <w:rsid w:val="004F7FF0"/>
    <w:rsid w:val="006111B0"/>
    <w:rsid w:val="006670E4"/>
    <w:rsid w:val="006F1417"/>
    <w:rsid w:val="00772F2B"/>
    <w:rsid w:val="007828B8"/>
    <w:rsid w:val="00880E5F"/>
    <w:rsid w:val="009B239F"/>
    <w:rsid w:val="00D3659C"/>
    <w:rsid w:val="00E83EB5"/>
    <w:rsid w:val="00EB0840"/>
    <w:rsid w:val="00ED1CED"/>
    <w:rsid w:val="00F436AA"/>
    <w:rsid w:val="090C04DC"/>
    <w:rsid w:val="0C33493B"/>
    <w:rsid w:val="0F51618A"/>
    <w:rsid w:val="132F3C55"/>
    <w:rsid w:val="1A8929B7"/>
    <w:rsid w:val="1CC23539"/>
    <w:rsid w:val="1DD417B8"/>
    <w:rsid w:val="28E24035"/>
    <w:rsid w:val="29AF1C38"/>
    <w:rsid w:val="29DC3DFC"/>
    <w:rsid w:val="2AC3784D"/>
    <w:rsid w:val="2E9545E8"/>
    <w:rsid w:val="2FF80A61"/>
    <w:rsid w:val="3EBA38AE"/>
    <w:rsid w:val="53F758F0"/>
    <w:rsid w:val="62366A52"/>
    <w:rsid w:val="62DD524B"/>
    <w:rsid w:val="64AE0FA2"/>
    <w:rsid w:val="6A32742A"/>
    <w:rsid w:val="6C0058C5"/>
    <w:rsid w:val="6D535020"/>
    <w:rsid w:val="77A36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0">
    <w:name w:val="Table Theme"/>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customStyle="1" w:styleId="13">
    <w:name w:val="批注框文本 Char"/>
    <w:basedOn w:val="11"/>
    <w:link w:val="4"/>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5</Pages>
  <Words>277</Words>
  <Characters>1541</Characters>
  <Lines>18</Lines>
  <Paragraphs>5</Paragraphs>
  <TotalTime>0</TotalTime>
  <ScaleCrop>false</ScaleCrop>
  <LinksUpToDate>false</LinksUpToDate>
  <CharactersWithSpaces>1769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2019-01-22T02:25:00Z</dcterms:created>
  <dc:creator>山东盛泰</dc:creator>
  <cp:lastModifiedBy>猫九岁</cp:lastModifiedBy>
  <dcterms:modified xsi:type="dcterms:W3CDTF">2026-04-24T07:36:37Z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C554A9837190412E85C02BEE139BC654</vt:lpwstr>
  </property>
  <property fmtid="{D5CDD505-2E9C-101B-9397-08002B2CF9AE}" pid="4" name="KSOTemplateDocerSaveRecord">
    <vt:lpwstr>eyJoZGlkIjoiNjIwMDAyYTcwYzYxYzE1OTNjZWFiMzJkMzhlMjQ5YWUiLCJ1c2VySWQiOiI5NTQzMjE3NjUifQ==</vt:lpwstr>
  </property>
</Properties>
</file>